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A5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Pr="002D6C14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CA5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CA5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Pr="00BD75B9" w:rsidRDefault="00222CA5" w:rsidP="00222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Pr="00BD75B9" w:rsidRDefault="00222CA5" w:rsidP="004F2D6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22CA5" w:rsidRPr="00BD75B9" w:rsidRDefault="00222CA5" w:rsidP="004F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CA5" w:rsidRPr="00BD75B9" w:rsidRDefault="00222CA5" w:rsidP="004F2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B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1170</w:t>
      </w:r>
    </w:p>
    <w:p w:rsidR="00222CA5" w:rsidRPr="00BD75B9" w:rsidRDefault="00222CA5" w:rsidP="004F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CA5" w:rsidRPr="00BD75B9" w:rsidRDefault="00222CA5" w:rsidP="004F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222CA5" w:rsidRPr="00BD75B9" w:rsidRDefault="00222CA5" w:rsidP="004F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CA5" w:rsidRPr="005C732B" w:rsidRDefault="00222CA5" w:rsidP="004F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22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Методики определения нормативных затрат на оказание муниципальных услуг по реализации дополнительных общеобразоват</w:t>
      </w:r>
      <w:r w:rsidR="004F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ельных программ</w:t>
      </w:r>
      <w:r w:rsidR="008D4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условиях персонифицированного финансирования</w:t>
      </w:r>
    </w:p>
    <w:bookmarkEnd w:id="0"/>
    <w:p w:rsidR="00222CA5" w:rsidRPr="005C732B" w:rsidRDefault="00222CA5" w:rsidP="004F2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D66" w:rsidRDefault="001959D2" w:rsidP="001959D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F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риказа  Мин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 Росси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Федерации 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постановления </w:t>
      </w:r>
      <w:r w:rsidR="005F45E0" w:rsidRPr="009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Твери</w:t>
      </w:r>
      <w:r w:rsidR="00222CA5" w:rsidRPr="009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D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12.10.2022</w:t>
      </w:r>
      <w:r w:rsidR="00222CA5" w:rsidRPr="009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2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1045 </w:t>
      </w:r>
      <w:r w:rsidR="00222CA5" w:rsidRPr="009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организации работы по осуществлению персонифицированного учета и персонифицированного финансирования  дополнительного образования детей в </w:t>
      </w:r>
      <w:r w:rsidR="00CB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Твери</w:t>
      </w:r>
      <w:r w:rsidR="00222CA5" w:rsidRPr="009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руководствуясь</w:t>
      </w:r>
      <w:r w:rsidR="00222CA5" w:rsidRP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4F2D66" w:rsidRP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Твери,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4F2D66" w:rsidRDefault="004F2D66" w:rsidP="004F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CA5" w:rsidRDefault="004F2D66" w:rsidP="004F2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4F2D66" w:rsidRPr="00222CA5" w:rsidRDefault="004F2D66" w:rsidP="004F2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CA5" w:rsidRPr="00222CA5" w:rsidRDefault="001E1351" w:rsidP="00DF07CC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E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AC5102" w:rsidRPr="00AC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AC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C5102" w:rsidRPr="00AC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нормативных затрат на оказание муниципальных услуг по реализации дополнительных общеобразовательных программ в условиях персонифицированного финансирования</w:t>
      </w:r>
      <w:r w:rsidR="00AC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F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CA5" w:rsidRPr="00222CA5" w:rsidRDefault="001E1351" w:rsidP="001959D2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E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22CA5" w:rsidRP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 w:rsidR="0089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официального </w:t>
      </w:r>
      <w:r w:rsidR="0078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и распространяет свое действие на правоотношения, возникшие с 1 сентября 2022 года.</w:t>
      </w:r>
    </w:p>
    <w:p w:rsidR="0022768A" w:rsidRPr="00AA60D6" w:rsidRDefault="0022768A" w:rsidP="004F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D56" w:rsidRDefault="001B5D56" w:rsidP="004F2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:rsidR="00222CA5" w:rsidRDefault="001B5D56" w:rsidP="004F2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CA5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222CA5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2CA5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2CA5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2CA5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F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2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</w:t>
      </w:r>
    </w:p>
    <w:p w:rsidR="001B2A0F" w:rsidRDefault="001B2A0F" w:rsidP="0067439D">
      <w:pPr>
        <w:spacing w:line="240" w:lineRule="auto"/>
      </w:pPr>
    </w:p>
    <w:p w:rsidR="00DF1A87" w:rsidRDefault="00DF1A87" w:rsidP="0067439D">
      <w:pPr>
        <w:spacing w:line="240" w:lineRule="auto"/>
        <w:sectPr w:rsidR="00DF1A87" w:rsidSect="00DF1A87">
          <w:headerReference w:type="default" r:id="rId8"/>
          <w:pgSz w:w="11906" w:h="16838"/>
          <w:pgMar w:top="1135" w:right="566" w:bottom="993" w:left="1134" w:header="708" w:footer="708" w:gutter="0"/>
          <w:cols w:space="708"/>
          <w:docGrid w:linePitch="360"/>
        </w:sectPr>
      </w:pPr>
    </w:p>
    <w:p w:rsidR="00E93424" w:rsidRDefault="00837A94" w:rsidP="00674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E9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65FA" w:rsidRDefault="00FE65FA" w:rsidP="00674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:rsidR="0067439D" w:rsidRPr="0067439D" w:rsidRDefault="0067439D" w:rsidP="00674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E6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</w:t>
      </w:r>
      <w:r w:rsidRPr="0067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439D" w:rsidRPr="0067439D" w:rsidRDefault="0067439D" w:rsidP="00674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Твери </w:t>
      </w:r>
    </w:p>
    <w:p w:rsidR="0067439D" w:rsidRPr="0067439D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7439D" w:rsidRPr="0067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ноября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="0067439D" w:rsidRPr="0067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proofErr w:type="gramEnd"/>
      <w:r w:rsidR="0067439D" w:rsidRPr="0067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1170</w:t>
      </w:r>
    </w:p>
    <w:p w:rsidR="0067439D" w:rsidRPr="0067439D" w:rsidRDefault="0067439D" w:rsidP="0067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439D" w:rsidRDefault="0067439D" w:rsidP="0067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5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етодика</w:t>
      </w:r>
    </w:p>
    <w:p w:rsidR="00151A3C" w:rsidRPr="00151A3C" w:rsidRDefault="005C732B" w:rsidP="00151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 нормативных затрат на оказание муниципальных услуг по реализации дополнительных общеобразовательных </w:t>
      </w:r>
      <w:r w:rsidRPr="0015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151A3C" w:rsidRPr="0015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персонифицированного финансирования</w:t>
      </w:r>
    </w:p>
    <w:p w:rsidR="005C732B" w:rsidRPr="0067439D" w:rsidRDefault="005C732B" w:rsidP="0067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C732B" w:rsidRDefault="00C32178" w:rsidP="00C3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32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39D" w:rsidRPr="0067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2B" w:rsidRPr="0067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7439D" w:rsidRPr="0067439D" w:rsidRDefault="0067439D" w:rsidP="00674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5C732B" w:rsidRDefault="00086EBC" w:rsidP="006743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определения нормативных затрат на оказание муниципальных услуг по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персонифицированного финансирования (далее - Методика)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определения величины составляющих базовых нормативов затрат.</w:t>
      </w:r>
    </w:p>
    <w:p w:rsidR="005C732B" w:rsidRPr="005C732B" w:rsidRDefault="00086EBC" w:rsidP="006743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М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применяется органами местного самоуправления </w:t>
      </w:r>
      <w:r w:rsidR="0067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33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(структурными подразделениями</w:t>
      </w:r>
      <w:r w:rsidR="00C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3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Твери)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выполняют функции учредителя организаций, реализующих дополнительные общеобразовательные программы</w:t>
      </w:r>
      <w:r w:rsidR="00E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C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орган)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оказании услуг по реализации дополнительных общеобразовательных программ в системе персонифицированного </w:t>
      </w:r>
      <w:r w:rsidR="00E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и персонифицированного 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 w:rsidR="00E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детей (далее - система персонифицированного учета и финансирования)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целях реализации обязательств перед организациями, реализующими дополнительные общеобразовательные программы, при оказании услуг по реализации дополнительных общеобразовательных программ в системе персонифицированного </w:t>
      </w:r>
      <w:r w:rsidR="0098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и 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финансирования, в отношении которых органы местного самоуправления </w:t>
      </w:r>
      <w:r w:rsidR="0067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C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</w:t>
      </w:r>
      <w:r w:rsidR="0034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 w:rsidR="0034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Твери)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являются учредителями организаций и  частными образовательными организациями (индивидуальными предпринимателя</w:t>
      </w:r>
      <w:r w:rsidR="0033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возникающих в рамках системы персонифицированного </w:t>
      </w:r>
      <w:r w:rsidR="0098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и 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финансирования. 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программ, устанавливаются </w:t>
      </w:r>
      <w:r w:rsidR="0033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</w:t>
      </w:r>
      <w:r w:rsidR="00E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="005C732B" w:rsidRPr="005C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32B" w:rsidRPr="005C732B" w:rsidRDefault="005C732B" w:rsidP="006743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Pr="005C7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етодика </w:t>
      </w:r>
      <w:r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разработана в целях:</w:t>
      </w:r>
    </w:p>
    <w:p w:rsidR="005C732B" w:rsidRPr="005C732B" w:rsidRDefault="0067439D" w:rsidP="0067439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1)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установления экономически обоснованных механизмов и единых методов определения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затрат на оказание муниципальных услуг по реализации дополнительных общеобразовательных программ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5C732B" w:rsidRPr="005C732B" w:rsidRDefault="0067439D" w:rsidP="006743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5C732B" w:rsidRPr="005C732B" w:rsidRDefault="005C732B" w:rsidP="006743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организации, осуществляющие обучение (в том числе организации спорта и культуры), реализующие дополнительные 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в рамках системы персонифицированного </w:t>
      </w:r>
      <w:r w:rsidR="00C3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 вправе установить цену оказания муниципальной услуги по реализации дополнительной обще</w:t>
      </w:r>
      <w:r w:rsidR="00DD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расчете на человеко-час в размере, меньшем, чем нормативные затраты, рассчитанные в по</w:t>
      </w:r>
      <w:r w:rsidR="00DE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настоящей М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етодикой</w:t>
      </w:r>
      <w:r w:rsidRPr="005C73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5C732B" w:rsidRPr="005C732B" w:rsidRDefault="005C732B" w:rsidP="006743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C732B" w:rsidRPr="00837A94" w:rsidRDefault="00C32178" w:rsidP="00C32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32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2B" w:rsidRPr="0083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нормативных затрат на оказание муниципальных услуг по реализации дополнительных общеобразовательных программ</w:t>
      </w:r>
      <w:r w:rsidR="0008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персонифицированного финансирования</w:t>
      </w:r>
    </w:p>
    <w:p w:rsidR="005C732B" w:rsidRPr="005C732B" w:rsidRDefault="005C732B" w:rsidP="0067439D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5C732B" w:rsidRDefault="005C732B" w:rsidP="00C32178">
      <w:pPr>
        <w:widowControl w:val="0"/>
        <w:numPr>
          <w:ilvl w:val="0"/>
          <w:numId w:val="1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Нормативные затраты на оказание муниципальных  услуг по реализации дополнительных общеобразовательных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</w:t>
      </w:r>
      <w:r w:rsidR="0067439D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Федеральны</w:t>
      </w:r>
      <w:r w:rsid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м</w:t>
      </w:r>
      <w:r w:rsidR="0067439D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 закон</w:t>
      </w:r>
      <w:r w:rsid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ом</w:t>
      </w:r>
      <w:r w:rsidR="0067439D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3B7D2C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от 29.12.2012 </w:t>
      </w:r>
      <w:r w:rsidR="003B7D2C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№</w:t>
      </w:r>
      <w:r w:rsidR="003B7D2C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 273-ФЗ</w:t>
      </w:r>
      <w:r w:rsidR="003B7D2C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«</w:t>
      </w:r>
      <w:r w:rsidR="0067439D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Об образовании в Российской Федерации</w:t>
      </w:r>
      <w:r w:rsidR="003B7D2C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»</w:t>
      </w:r>
      <w:r w:rsidR="0067439D" w:rsidRPr="0067439D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5C732B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особенностей организации и осуществления образовательных услуг (для различных категорий обучающихся).</w:t>
      </w:r>
    </w:p>
    <w:p w:rsidR="005C732B" w:rsidRPr="005C732B" w:rsidRDefault="005C732B" w:rsidP="00C32178">
      <w:pPr>
        <w:widowControl w:val="0"/>
        <w:numPr>
          <w:ilvl w:val="0"/>
          <w:numId w:val="1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оказание муниципальных услуг по реализации доп</w:t>
      </w:r>
      <w:r w:rsidR="0042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олнительных общеобразовательных 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определяются по следующей формуле:</w:t>
      </w:r>
    </w:p>
    <w:p w:rsidR="005C732B" w:rsidRPr="00C32178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баз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отр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32178" w:rsidRPr="00C32178" w:rsidRDefault="00C32178" w:rsidP="00C32178">
      <w:pPr>
        <w:widowControl w:val="0"/>
        <w:autoSpaceDE w:val="0"/>
        <w:autoSpaceDN w:val="0"/>
        <w:adjustRightInd w:val="0"/>
        <w:spacing w:after="0" w:line="240" w:lineRule="auto"/>
        <w:ind w:left="568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32B" w:rsidRPr="005C732B" w:rsidDel="000A27CD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5C732B" w:rsidRPr="005C732B" w:rsidDel="000A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нормативные затраты на оказание i-ой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5C732B" w:rsidRPr="005C732B" w:rsidDel="000A2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реализации дополнительных общеобразовательных программ;</w:t>
      </w:r>
    </w:p>
    <w:p w:rsidR="005C732B" w:rsidRPr="005C732B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баз 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базовый норматив затрат на оказание i-той муниципальной услуги по реализации дополнительных общеобразовательных программ;</w:t>
      </w:r>
    </w:p>
    <w:p w:rsidR="005C732B" w:rsidRPr="005C732B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отр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программ, включая форму обучения, сетевую форму реализации образ</w:t>
      </w:r>
      <w:proofErr w:type="spellStart"/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</w:t>
      </w:r>
      <w:proofErr w:type="spellEnd"/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5C732B" w:rsidRPr="00C32178" w:rsidRDefault="005C732B" w:rsidP="00C3217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норматив затрат на оказание i-той муниципальной услуги по реализации дополнительных общеобразовательных программ</w:t>
      </w:r>
      <w:r w:rsidR="0063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баз </m:t>
            </m:r>
          </m:sub>
        </m:sSub>
      </m:oMath>
      <w:r w:rsidR="0063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рассчитываются по следующей формуле: </w:t>
      </w:r>
    </w:p>
    <w:p w:rsidR="00C32178" w:rsidRPr="005C732B" w:rsidRDefault="00C32178" w:rsidP="00C321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DF1A87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непоср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общ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где</w:t>
      </w:r>
    </w:p>
    <w:p w:rsidR="00C32178" w:rsidRPr="00DF1A87" w:rsidRDefault="00C32178" w:rsidP="00C3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5C732B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непоср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программ;</w:t>
      </w:r>
    </w:p>
    <w:p w:rsidR="005C732B" w:rsidRPr="005C732B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общ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программ. </w:t>
      </w:r>
    </w:p>
    <w:p w:rsidR="005C732B" w:rsidRPr="00C32178" w:rsidRDefault="005C732B" w:rsidP="00C3217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программ</w:t>
      </w:r>
      <w:r w:rsidR="00FC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непоср</m:t>
            </m:r>
          </m:sup>
        </m:sSubSup>
      </m:oMath>
      <w:r w:rsidR="00FC20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по следующей формуле:</w:t>
      </w:r>
    </w:p>
    <w:p w:rsidR="00C32178" w:rsidRPr="005C732B" w:rsidRDefault="00C32178" w:rsidP="00C321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DF1A87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непоср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ИНЗ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+ 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МЗ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УЧ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32178" w:rsidRPr="00DF1A87" w:rsidRDefault="00C32178" w:rsidP="00C321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C32178" w:rsidRDefault="00B01140" w:rsidP="00C321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ОТ1</m:t>
            </m:r>
          </m:sup>
        </m:sSubSup>
      </m:oMath>
      <w:r w:rsidR="005C732B" w:rsidRPr="005C73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5C732B" w:rsidRPr="005C732B">
        <w:rPr>
          <w:rFonts w:ascii="Times New Roman" w:eastAsia="MS PGothic" w:hAnsi="Times New Roman" w:cs="Arial"/>
          <w:bCs/>
          <w:kern w:val="24"/>
          <w:sz w:val="28"/>
          <w:szCs w:val="28"/>
          <w:lang w:eastAsia="ru-RU"/>
        </w:rPr>
        <w:t>по реализации дополнительных общеобразовательных программ</w:t>
      </w:r>
      <w:r w:rsidR="005C732B" w:rsidRPr="005C732B">
        <w:rPr>
          <w:rFonts w:ascii="Times New Roman" w:eastAsia="Times New Roman" w:hAnsi="Times New Roman" w:cs="Arial"/>
          <w:sz w:val="28"/>
          <w:szCs w:val="28"/>
          <w:lang w:eastAsia="ru-RU"/>
        </w:rPr>
        <w:t>, в том числе страховые взносы в Фонд пенсионного и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C32178" w:rsidRPr="005C732B" w:rsidRDefault="00C32178" w:rsidP="00C321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C732B" w:rsidRPr="00DF1A87" w:rsidRDefault="005C732B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ОТ1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W</m:t>
        </m:r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сред</m:t>
            </m:r>
          </m:sub>
        </m:sSub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 /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  <w:lang w:eastAsia="ru-RU"/>
          </w:rPr>
          <m:t xml:space="preserve"> </m:t>
        </m:r>
      </m:oMath>
      <w:r w:rsidRPr="005C732B">
        <w:rPr>
          <w:rFonts w:ascii="Times New Roman" w:eastAsia="MS PGothic" w:hAnsi="Times New Roman" w:cs="Times New Roman"/>
          <w:sz w:val="28"/>
          <w:szCs w:val="28"/>
          <w:lang w:eastAsia="ru-RU"/>
        </w:rPr>
        <w:t>, где</w:t>
      </w:r>
    </w:p>
    <w:p w:rsidR="00C32178" w:rsidRPr="00DF1A87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</w:p>
    <w:p w:rsidR="005C732B" w:rsidRPr="005C732B" w:rsidRDefault="005C732B" w:rsidP="00C321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W</m:t>
        </m:r>
      </m:oMath>
      <w:r w:rsidRPr="005C732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Фонд пенсионного и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5C732B" w:rsidRPr="005C732B" w:rsidRDefault="00B01140" w:rsidP="00C321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сред</m:t>
            </m:r>
          </m:sub>
        </m:sSub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 </m:t>
        </m:r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5C732B" w:rsidRPr="005C732B" w:rsidRDefault="00B01140" w:rsidP="00C321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час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5C732B" w:rsidRPr="005C732B" w:rsidRDefault="00B01140" w:rsidP="00C321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ИНЗ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программ, которые определяются по формуле:</w:t>
      </w:r>
    </w:p>
    <w:p w:rsidR="00B057FC" w:rsidRDefault="00B057FC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</w:p>
    <w:p w:rsidR="005C732B" w:rsidRPr="00DF1A87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spacing w:val="-1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ИНЗ</m:t>
            </m:r>
          </m:sup>
        </m:sSubSup>
      </m:oMath>
      <w:r w:rsidR="005C732B" w:rsidRPr="005C732B">
        <w:rPr>
          <w:rFonts w:ascii="Times New Roman" w:eastAsia="MS PGothic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="005C732B" w:rsidRPr="005C732B">
        <w:rPr>
          <w:rFonts w:ascii="Times New Roman" w:eastAsia="MS PGothic" w:hAnsi="Times New Roman" w:cs="Times New Roman"/>
          <w:spacing w:val="-1"/>
          <w:sz w:val="28"/>
          <w:szCs w:val="28"/>
          <w:lang w:eastAsia="ru-RU"/>
        </w:rPr>
        <w:t xml:space="preserve">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КВАЛ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МЕД</m:t>
            </m:r>
          </m:sup>
        </m:sSubSup>
      </m:oMath>
      <w:r w:rsidR="005C732B" w:rsidRPr="005C732B">
        <w:rPr>
          <w:rFonts w:ascii="Times New Roman" w:eastAsia="MS PGothic" w:hAnsi="Times New Roman" w:cs="Times New Roman"/>
          <w:spacing w:val="-1"/>
          <w:sz w:val="28"/>
          <w:szCs w:val="28"/>
          <w:lang w:eastAsia="ru-RU"/>
        </w:rPr>
        <w:t>,</w:t>
      </w:r>
      <w:proofErr w:type="gramEnd"/>
      <w:r w:rsidR="005C732B" w:rsidRPr="005C732B">
        <w:rPr>
          <w:rFonts w:ascii="Times New Roman" w:eastAsia="MS PGothic" w:hAnsi="Times New Roman" w:cs="Times New Roman"/>
          <w:spacing w:val="-1"/>
          <w:sz w:val="28"/>
          <w:szCs w:val="28"/>
          <w:lang w:eastAsia="ru-RU"/>
        </w:rPr>
        <w:t xml:space="preserve"> где</w:t>
      </w:r>
    </w:p>
    <w:p w:rsidR="00C32178" w:rsidRPr="00DF1A87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</w:p>
    <w:p w:rsidR="005C732B" w:rsidRPr="00DF1A87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КВАЛ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 </m:t>
        </m:r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транспортных услуг, </w:t>
      </w:r>
      <w:r w:rsidR="005C732B" w:rsidRPr="005C732B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которые определяются по формуле:</w:t>
      </w:r>
    </w:p>
    <w:p w:rsidR="00C32178" w:rsidRPr="00DF1A87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</w:p>
    <w:p w:rsidR="005C732B" w:rsidRPr="00C32178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КВАЛ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 xml:space="preserve">баз 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х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квал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/</m:t>
          </m:r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val="en-US" w:eastAsia="ru-RU"/>
            </w:rPr>
            <m:t>3/</m:t>
          </m:r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сред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/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час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,где</m:t>
          </m:r>
        </m:oMath>
      </m:oMathPara>
    </w:p>
    <w:p w:rsidR="00C32178" w:rsidRPr="00C32178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баз</m:t>
            </m:r>
          </m:sub>
        </m:sSub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 </m:t>
        </m:r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квал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5C732B" w:rsidRPr="005C732B" w:rsidRDefault="005C732B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>3</m:t>
        </m:r>
      </m:oMath>
      <w:r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повышения квалификации;</w:t>
      </w:r>
    </w:p>
    <w:p w:rsidR="005C732B" w:rsidRPr="00DF1A87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МЕД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- </m:t>
        </m:r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прохождение педагогическими работниками медицинских осмотров</w:t>
      </w:r>
      <w:r w:rsidR="005C732B" w:rsidRPr="005C732B"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  <w:t>, которые определяются по формуле:</w:t>
      </w:r>
    </w:p>
    <w:p w:rsidR="00C32178" w:rsidRPr="00DF1A87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C32178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МЕД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МЕД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val="en-US" w:eastAsia="ru-RU"/>
            </w:rPr>
            <m:t xml:space="preserve"> /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сред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 /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час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,где</m:t>
          </m:r>
        </m:oMath>
      </m:oMathPara>
    </w:p>
    <w:p w:rsidR="00C32178" w:rsidRPr="00C32178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C732B" w:rsidRPr="005C732B" w:rsidRDefault="00B01140" w:rsidP="00C32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МЕД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с</w:t>
      </w:r>
      <w:proofErr w:type="spellStart"/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proofErr w:type="spellEnd"/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врачей, медицинских исследований и анализов, значение устанавливается уполномоченным органом.</w:t>
      </w:r>
    </w:p>
    <w:p w:rsidR="005C732B" w:rsidRPr="00C32178" w:rsidRDefault="00B01140" w:rsidP="00C321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МЗ</m:t>
            </m:r>
          </m:sup>
        </m:sSubSup>
      </m:oMath>
      <w:r w:rsidR="005C732B" w:rsidRPr="005C732B">
        <w:rPr>
          <w:rFonts w:ascii="Times New Roman" w:eastAsia="Times New Roman" w:hAnsi="Times New Roman" w:cs="Arial"/>
          <w:i/>
          <w:spacing w:val="-1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C32178" w:rsidRPr="005C732B" w:rsidRDefault="00C32178" w:rsidP="00C3217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</w:pPr>
    </w:p>
    <w:p w:rsidR="005C732B" w:rsidRPr="00C32178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spacing w:val="-1"/>
          <w:sz w:val="28"/>
          <w:szCs w:val="28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МЗ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/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МЗ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 /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 /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год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 xml:space="preserve"> ,где  </m:t>
          </m:r>
        </m:oMath>
      </m:oMathPara>
    </w:p>
    <w:p w:rsidR="00C32178" w:rsidRPr="00C32178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  <w:lang w:val="en-US" w:eastAsia="ru-RU"/>
        </w:rPr>
      </w:pP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баз</m:t>
            </m:r>
          </m:sub>
        </m:sSub>
      </m:oMath>
      <w:r w:rsidR="005C732B" w:rsidRPr="005C732B">
        <w:rPr>
          <w:rFonts w:ascii="Times New Roman" w:eastAsia="MS PGothic" w:hAnsi="Times New Roman" w:cs="Times New Roman"/>
          <w:sz w:val="28"/>
          <w:szCs w:val="28"/>
          <w:lang w:eastAsia="ru-RU"/>
        </w:rPr>
        <w:t xml:space="preserve"> 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комплекта средств обучения по одной направленности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устанавливается уполномоченным органом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МЗ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срок полезного использования комплекта средств обучения в годах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устанавливается уполномоченным органом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гр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год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норматив использования оборудования и методических пособий в часах на год,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устанавливается уполномоченным органом;</w:t>
      </w:r>
    </w:p>
    <w:p w:rsidR="005C732B" w:rsidRDefault="00B01140" w:rsidP="00C321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Arial"/>
                <w:spacing w:val="-1"/>
                <w:sz w:val="28"/>
                <w:szCs w:val="28"/>
                <w:lang w:eastAsia="ru-RU"/>
              </w:rPr>
              <m:t>УЧ</m:t>
            </m:r>
          </m:sup>
        </m:sSubSup>
      </m:oMath>
      <w:r w:rsidR="005C732B" w:rsidRPr="005C732B">
        <w:rPr>
          <w:rFonts w:ascii="Times New Roman" w:eastAsia="Times New Roman" w:hAnsi="Times New Roman" w:cs="Arial"/>
          <w:i/>
          <w:spacing w:val="-1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программ, которые определяются по формуле:</w:t>
      </w:r>
    </w:p>
    <w:p w:rsidR="001F07F9" w:rsidRPr="005C732B" w:rsidRDefault="001F07F9" w:rsidP="001F07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</w:pPr>
    </w:p>
    <w:p w:rsidR="005C732B" w:rsidRPr="00C32178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УЧ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баз 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х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баз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  <w:lang w:eastAsia="ru-RU"/>
            </w:rPr>
            <m:t xml:space="preserve"> /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/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8"/>
                  <w:lang w:eastAsia="ru-RU"/>
                </w:rPr>
                <m:t>год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  <w:lang w:eastAsia="ru-RU"/>
            </w:rPr>
            <m:t>,где</m:t>
          </m:r>
        </m:oMath>
      </m:oMathPara>
    </w:p>
    <w:p w:rsidR="00C32178" w:rsidRPr="00C32178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баз</m:t>
            </m:r>
          </m:sub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УЧ</m:t>
            </m:r>
          </m:sup>
        </m:sSubSup>
      </m:oMath>
      <w:r w:rsidR="005C732B" w:rsidRPr="005C73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Arial"/>
          <w:sz w:val="28"/>
          <w:szCs w:val="28"/>
          <w:lang w:eastAsia="ru-RU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баз</m:t>
            </m:r>
          </m:sub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УЧ</m:t>
            </m:r>
          </m:sup>
        </m:sSubSup>
      </m:oMath>
      <w:r w:rsidR="005C732B" w:rsidRPr="005C73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количество методических пособий на 1 обучающегося, значение </w:t>
      </w:r>
      <w:r w:rsidR="005C732B" w:rsidRPr="005C732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устанавливается уполномоченным органом;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УЧ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срок полезного использования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пособий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годах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устанавливается уполномоченным органом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C732B" w:rsidRPr="00C32178" w:rsidRDefault="005C732B" w:rsidP="00C3217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программ рассчитывается по следующей формуле:</w:t>
      </w:r>
    </w:p>
    <w:p w:rsidR="00C32178" w:rsidRPr="005C732B" w:rsidRDefault="00C32178" w:rsidP="00C3217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C732B" w:rsidRPr="00DF1A87" w:rsidRDefault="00B01140" w:rsidP="006743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общ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СИ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ОТ2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,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C32178" w:rsidRPr="00DF1A87" w:rsidRDefault="00C32178" w:rsidP="006743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DF1A87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СИ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EBC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eastAsia="ru-RU" w:bidi="ru-RU"/>
        </w:rPr>
        <w:t>б</w:t>
      </w:r>
      <w:r w:rsidR="005C732B" w:rsidRPr="005C7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азовый норматив затрат на общехозяйственные нужды на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оказание i-ой муниципальной услуги по реализации дополнительных общеобразовательных программ, за исключением затрат на оплату труда и начисления на выплаты по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C32178" w:rsidRPr="00DF1A87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DF1A87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СИ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КУ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СНИ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СОЦДИ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УС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8"/>
                    <w:szCs w:val="28"/>
                    <w:lang w:eastAsia="ru-RU"/>
                  </w:rPr>
                  <m:t>ТУ</m:t>
                </m:r>
              </m:sup>
            </m:sSubSup>
          </m:e>
        </m:d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 xml:space="preserve"> /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год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, где</w:t>
      </w:r>
    </w:p>
    <w:p w:rsidR="00C32178" w:rsidRPr="00DF1A87" w:rsidRDefault="00C32178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КУ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="0008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коммунальные услуги, включая затраты на горячее и холодное водоснабжение</w:t>
      </w:r>
      <w:r w:rsidR="00C32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водоотведение и очистку сточных вод, электроснабжение, теплоснабжение в соответствии с тарифами на нормы суточного потребления;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СНИ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bCs/>
          <w:kern w:val="24"/>
          <w:position w:val="-6"/>
          <w:sz w:val="28"/>
          <w:szCs w:val="28"/>
          <w:vertAlign w:val="subscript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="0008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содержание объектов недвижимого имущества</w:t>
      </w:r>
      <w:r w:rsidR="00C32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затраты на арендные платежи и уплату налогов, рассчитываются на основе учета нормативной площади прилегающей территории</w:t>
      </w:r>
      <w:r w:rsidR="005C732B" w:rsidRPr="002C0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обслуживания территории дворником при механизированной уборке</w:t>
      </w:r>
      <w:r w:rsidR="005C732B" w:rsidRPr="00CE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0D17" w:rsidRPr="00C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убираемой площади,</w:t>
      </w:r>
      <w:r w:rsidR="002C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обслуживания и убо</w:t>
      </w:r>
      <w:r w:rsidR="00C97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помещений, стоимости вывоза мусора</w:t>
      </w:r>
      <w:r w:rsidR="008A1F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СОЦДИ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– </w:t>
      </w:r>
      <w:r w:rsidR="00086E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-профилактическому ремонту систем кондиционирования и вентиляции (раз в 10 лет), систем пожарной сигнализации и охранно-тревожной сигнализации, систем видеонаблюдения, систем канализации, наружного водопровода,  приборов учета </w:t>
      </w:r>
      <w:r w:rsidR="00CE4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энергии, электрической энергии, воды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УС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bCs/>
          <w:kern w:val="24"/>
          <w:position w:val="-6"/>
          <w:sz w:val="28"/>
          <w:szCs w:val="28"/>
          <w:vertAlign w:val="subscript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="0008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атраты на приобретение услуг связи, включая услуги телефонной связи (местной и междугородней), услуги </w:t>
      </w:r>
      <w:r w:rsidR="00CE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поддержку сайтов, обслуживание системы электронного документооборота, оплату пользования административными программ</w:t>
      </w:r>
      <w:r w:rsidR="00A273F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продуктами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подписку на электронные ресурсы на основе тарифов на телефонную связь и тарифов доступа в </w:t>
      </w:r>
      <w:r w:rsidR="00CE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Интернет;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ТУ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</w:t>
      </w:r>
      <w:r w:rsidR="0008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5C732B" w:rsidRP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год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ОТ2</m:t>
            </m:r>
          </m:sup>
        </m:sSubSup>
      </m:oMath>
      <w:r w:rsidR="005C732B" w:rsidRPr="005C732B">
        <w:rPr>
          <w:rFonts w:ascii="Times New Roman" w:eastAsia="Times New Roman" w:hAnsi="Times New Roman" w:cs="Times New Roman"/>
          <w:bCs/>
          <w:kern w:val="24"/>
          <w:position w:val="-6"/>
          <w:sz w:val="28"/>
          <w:szCs w:val="28"/>
          <w:vertAlign w:val="subscript"/>
          <w:lang w:eastAsia="ru-RU"/>
        </w:rPr>
        <w:t xml:space="preserve"> </w:t>
      </w:r>
      <w:r w:rsidR="005C732B" w:rsidRPr="005C73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– 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персонала), включая страховые взносы в Фонд пенсионного и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ED7213" w:rsidRPr="005C732B" w:rsidRDefault="00ED7213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Default="00B01140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ОТ2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8"/>
                <w:szCs w:val="28"/>
                <w:lang w:eastAsia="ru-RU"/>
              </w:rPr>
              <m:t>ОТ1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АУП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 где</m:t>
        </m:r>
      </m:oMath>
    </w:p>
    <w:p w:rsidR="00ED7213" w:rsidRPr="005C732B" w:rsidRDefault="00ED7213" w:rsidP="0067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2B" w:rsidRPr="005C732B" w:rsidRDefault="00B01140" w:rsidP="00674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АУП</m:t>
            </m:r>
          </m:sub>
        </m:sSub>
      </m:oMath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доли работников </w:t>
      </w:r>
      <w:r w:rsidR="006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 персонала</w:t>
      </w:r>
      <w:r w:rsidR="005C732B" w:rsidRP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общей численности педагогических работников, значение устанавливается уполномоченным органом.</w:t>
      </w:r>
    </w:p>
    <w:p w:rsidR="00635256" w:rsidRDefault="00635256" w:rsidP="0067439D">
      <w:pPr>
        <w:spacing w:line="240" w:lineRule="auto"/>
      </w:pPr>
    </w:p>
    <w:p w:rsidR="00983C41" w:rsidRDefault="00983C41" w:rsidP="00983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41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983C41" w:rsidRPr="00983C41" w:rsidRDefault="00983C41" w:rsidP="00983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41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83C41">
        <w:rPr>
          <w:rFonts w:ascii="Times New Roman" w:hAnsi="Times New Roman" w:cs="Times New Roman"/>
          <w:sz w:val="28"/>
          <w:szCs w:val="28"/>
        </w:rPr>
        <w:t xml:space="preserve">Н.В. Жуковская </w:t>
      </w:r>
    </w:p>
    <w:sectPr w:rsidR="00983C41" w:rsidRPr="00983C41" w:rsidSect="00DF1A87">
      <w:headerReference w:type="default" r:id="rId9"/>
      <w:headerReference w:type="first" r:id="rId10"/>
      <w:pgSz w:w="11906" w:h="16838"/>
      <w:pgMar w:top="1134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A8" w:rsidRDefault="00F446A8" w:rsidP="00124733">
      <w:pPr>
        <w:spacing w:after="0" w:line="240" w:lineRule="auto"/>
      </w:pPr>
      <w:r>
        <w:separator/>
      </w:r>
    </w:p>
  </w:endnote>
  <w:endnote w:type="continuationSeparator" w:id="0">
    <w:p w:rsidR="00F446A8" w:rsidRDefault="00F446A8" w:rsidP="0012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A8" w:rsidRDefault="00F446A8" w:rsidP="00124733">
      <w:pPr>
        <w:spacing w:after="0" w:line="240" w:lineRule="auto"/>
      </w:pPr>
      <w:r>
        <w:separator/>
      </w:r>
    </w:p>
  </w:footnote>
  <w:footnote w:type="continuationSeparator" w:id="0">
    <w:p w:rsidR="00F446A8" w:rsidRDefault="00F446A8" w:rsidP="0012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87" w:rsidRDefault="00DF1A87" w:rsidP="00DF1A87">
    <w:pPr>
      <w:pStyle w:val="a8"/>
    </w:pPr>
  </w:p>
  <w:p w:rsidR="00DF1A87" w:rsidRDefault="00DF1A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398356"/>
      <w:docPartObj>
        <w:docPartGallery w:val="Page Numbers (Top of Page)"/>
        <w:docPartUnique/>
      </w:docPartObj>
    </w:sdtPr>
    <w:sdtEndPr/>
    <w:sdtContent>
      <w:p w:rsidR="00DF1A87" w:rsidRDefault="00DF1A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40">
          <w:rPr>
            <w:noProof/>
          </w:rPr>
          <w:t>6</w:t>
        </w:r>
        <w:r>
          <w:fldChar w:fldCharType="end"/>
        </w:r>
      </w:p>
    </w:sdtContent>
  </w:sdt>
  <w:p w:rsidR="00DF1A87" w:rsidRDefault="00DF1A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87" w:rsidRDefault="00DF1A87">
    <w:pPr>
      <w:pStyle w:val="a8"/>
      <w:jc w:val="center"/>
    </w:pPr>
  </w:p>
  <w:p w:rsidR="00DF1A87" w:rsidRDefault="00DF1A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5"/>
    <w:rsid w:val="0001694A"/>
    <w:rsid w:val="00062396"/>
    <w:rsid w:val="00077D45"/>
    <w:rsid w:val="0008610B"/>
    <w:rsid w:val="00086EBC"/>
    <w:rsid w:val="000B2817"/>
    <w:rsid w:val="00115250"/>
    <w:rsid w:val="00120391"/>
    <w:rsid w:val="00121258"/>
    <w:rsid w:val="00124733"/>
    <w:rsid w:val="00142BA5"/>
    <w:rsid w:val="00151A3C"/>
    <w:rsid w:val="00166C12"/>
    <w:rsid w:val="001959D2"/>
    <w:rsid w:val="001B2A0F"/>
    <w:rsid w:val="001B5D56"/>
    <w:rsid w:val="001E1351"/>
    <w:rsid w:val="001F07F9"/>
    <w:rsid w:val="00222CA5"/>
    <w:rsid w:val="0022768A"/>
    <w:rsid w:val="00276A8E"/>
    <w:rsid w:val="002C0D17"/>
    <w:rsid w:val="00310057"/>
    <w:rsid w:val="003313A8"/>
    <w:rsid w:val="00340014"/>
    <w:rsid w:val="003B7D2C"/>
    <w:rsid w:val="003D373D"/>
    <w:rsid w:val="003F7F48"/>
    <w:rsid w:val="004217B1"/>
    <w:rsid w:val="00421D99"/>
    <w:rsid w:val="004A0B78"/>
    <w:rsid w:val="004B10D6"/>
    <w:rsid w:val="004F0659"/>
    <w:rsid w:val="004F2D66"/>
    <w:rsid w:val="005A0B40"/>
    <w:rsid w:val="005B3407"/>
    <w:rsid w:val="005C732B"/>
    <w:rsid w:val="005E035F"/>
    <w:rsid w:val="005E5B2E"/>
    <w:rsid w:val="005F45E0"/>
    <w:rsid w:val="006065F6"/>
    <w:rsid w:val="00612D3C"/>
    <w:rsid w:val="00635256"/>
    <w:rsid w:val="00637265"/>
    <w:rsid w:val="0067439D"/>
    <w:rsid w:val="00684C74"/>
    <w:rsid w:val="006E2288"/>
    <w:rsid w:val="006F78C5"/>
    <w:rsid w:val="00720778"/>
    <w:rsid w:val="0078599C"/>
    <w:rsid w:val="00837A94"/>
    <w:rsid w:val="008730C2"/>
    <w:rsid w:val="0089055D"/>
    <w:rsid w:val="008A1F87"/>
    <w:rsid w:val="008B4D42"/>
    <w:rsid w:val="008D4357"/>
    <w:rsid w:val="00913C71"/>
    <w:rsid w:val="009248DF"/>
    <w:rsid w:val="00966575"/>
    <w:rsid w:val="00980645"/>
    <w:rsid w:val="00983C41"/>
    <w:rsid w:val="00986BC1"/>
    <w:rsid w:val="009B6728"/>
    <w:rsid w:val="009E3F41"/>
    <w:rsid w:val="009F17E8"/>
    <w:rsid w:val="009F4169"/>
    <w:rsid w:val="00A273FE"/>
    <w:rsid w:val="00A42CF3"/>
    <w:rsid w:val="00A82AAA"/>
    <w:rsid w:val="00A931E8"/>
    <w:rsid w:val="00AA60D6"/>
    <w:rsid w:val="00AB5F21"/>
    <w:rsid w:val="00AC5102"/>
    <w:rsid w:val="00AD2BE3"/>
    <w:rsid w:val="00B01140"/>
    <w:rsid w:val="00B057FC"/>
    <w:rsid w:val="00B0643E"/>
    <w:rsid w:val="00B61937"/>
    <w:rsid w:val="00B7506B"/>
    <w:rsid w:val="00B91E6F"/>
    <w:rsid w:val="00C17D83"/>
    <w:rsid w:val="00C32178"/>
    <w:rsid w:val="00C97474"/>
    <w:rsid w:val="00CA04FC"/>
    <w:rsid w:val="00CB7203"/>
    <w:rsid w:val="00CE4F55"/>
    <w:rsid w:val="00D11583"/>
    <w:rsid w:val="00D613D3"/>
    <w:rsid w:val="00DD1E42"/>
    <w:rsid w:val="00DD541B"/>
    <w:rsid w:val="00DE40C9"/>
    <w:rsid w:val="00DE5D5C"/>
    <w:rsid w:val="00DF07CC"/>
    <w:rsid w:val="00DF1A87"/>
    <w:rsid w:val="00E93424"/>
    <w:rsid w:val="00ED7213"/>
    <w:rsid w:val="00EF2778"/>
    <w:rsid w:val="00F067D6"/>
    <w:rsid w:val="00F446A8"/>
    <w:rsid w:val="00F83D57"/>
    <w:rsid w:val="00FC2051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89623AF-8999-45DD-AC0A-F064B8DA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256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2473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473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2473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A87"/>
  </w:style>
  <w:style w:type="paragraph" w:styleId="aa">
    <w:name w:val="footer"/>
    <w:basedOn w:val="a"/>
    <w:link w:val="ab"/>
    <w:uiPriority w:val="99"/>
    <w:unhideWhenUsed/>
    <w:rsid w:val="00DF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A87"/>
  </w:style>
  <w:style w:type="character" w:styleId="ac">
    <w:name w:val="line number"/>
    <w:basedOn w:val="a0"/>
    <w:uiPriority w:val="99"/>
    <w:semiHidden/>
    <w:unhideWhenUsed/>
    <w:rsid w:val="00DF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45F-6093-42C8-84E9-7FC31C3A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2022-11-23T07:43:00Z</cp:lastPrinted>
  <dcterms:created xsi:type="dcterms:W3CDTF">2022-11-25T12:21:00Z</dcterms:created>
  <dcterms:modified xsi:type="dcterms:W3CDTF">2022-11-25T12:22:00Z</dcterms:modified>
</cp:coreProperties>
</file>